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7DD4227C"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99357A">
        <w:rPr>
          <w:rFonts w:eastAsia="SimSun"/>
          <w:lang w:eastAsia="zh-CN"/>
        </w:rPr>
        <w:t>-e</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A30758">
        <w:t>2</w:t>
      </w:r>
      <w:r w:rsidR="00A30758" w:rsidRPr="0013106E">
        <w:t>00</w:t>
      </w:r>
      <w:r w:rsidR="0013106E" w:rsidRPr="0013106E">
        <w:t>1</w:t>
      </w:r>
      <w:r w:rsidR="0013106E">
        <w:t>435</w:t>
      </w:r>
    </w:p>
    <w:p w14:paraId="35BF833C" w14:textId="78AABCC5" w:rsidR="00DF018A" w:rsidRPr="008E18F2" w:rsidRDefault="0099357A" w:rsidP="00DF018A">
      <w:pPr>
        <w:pStyle w:val="a"/>
        <w:rPr>
          <w:rFonts w:eastAsia="SimSun"/>
          <w:lang w:eastAsia="zh-CN"/>
        </w:rPr>
      </w:pPr>
      <w:r>
        <w:rPr>
          <w:rFonts w:cs="Arial"/>
        </w:rPr>
        <w:t>Electronic meeting</w:t>
      </w:r>
      <w:r w:rsidR="00AD15D4">
        <w:t xml:space="preserve">, </w:t>
      </w:r>
      <w:r w:rsidR="00A30758">
        <w:rPr>
          <w:rFonts w:cs="Arial"/>
        </w:rPr>
        <w:t>24</w:t>
      </w:r>
      <w:r w:rsidR="00DF018A" w:rsidRPr="00084769">
        <w:rPr>
          <w:rFonts w:cs="Arial"/>
        </w:rPr>
        <w:t xml:space="preserve"> </w:t>
      </w:r>
      <w:r>
        <w:rPr>
          <w:rFonts w:cs="Arial"/>
        </w:rPr>
        <w:t xml:space="preserve">February </w:t>
      </w:r>
      <w:r w:rsidR="00DF018A" w:rsidRPr="00084769">
        <w:rPr>
          <w:rFonts w:cs="Arial"/>
        </w:rPr>
        <w:t xml:space="preserve">– </w:t>
      </w:r>
      <w:r>
        <w:rPr>
          <w:rFonts w:cs="Arial"/>
        </w:rPr>
        <w:t>6</w:t>
      </w:r>
      <w:r w:rsidR="00DF018A">
        <w:rPr>
          <w:rFonts w:cs="Arial"/>
        </w:rPr>
        <w:t xml:space="preserve"> </w:t>
      </w:r>
      <w:r>
        <w:rPr>
          <w:rFonts w:cs="Arial"/>
        </w:rPr>
        <w:t>March</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4BC6590"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IAB-Node</w:t>
      </w:r>
      <w:r w:rsidR="00F47649">
        <w:rPr>
          <w:sz w:val="22"/>
        </w:rPr>
        <w:t xml:space="preserve"> </w:t>
      </w:r>
      <w:r w:rsidR="005A070B">
        <w:rPr>
          <w:sz w:val="22"/>
        </w:rPr>
        <w:t>receiver requirements</w:t>
      </w:r>
      <w:r w:rsidR="008F7F07">
        <w:rPr>
          <w:sz w:val="22"/>
        </w:rPr>
        <w:t xml:space="preserve"> for FR2</w:t>
      </w:r>
    </w:p>
    <w:p w14:paraId="38BCE621" w14:textId="47169BBA"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266B64">
        <w:rPr>
          <w:sz w:val="22"/>
          <w:lang w:val="en-US"/>
        </w:rPr>
        <w:t>8.5.4.2.2</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20E7BE2F"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1779BE">
        <w:rPr>
          <w:rFonts w:eastAsia="Batang"/>
          <w:lang w:eastAsia="ko-KR"/>
        </w:rPr>
        <w:t>.</w:t>
      </w:r>
      <w:r>
        <w:rPr>
          <w:rFonts w:eastAsia="Batang"/>
          <w:lang w:eastAsia="ko-KR"/>
        </w:rPr>
        <w:t xml:space="preserve"> In this contribution we </w:t>
      </w:r>
      <w:r w:rsidR="001D6F67">
        <w:rPr>
          <w:rFonts w:eastAsia="Batang"/>
          <w:lang w:eastAsia="ko-KR"/>
        </w:rPr>
        <w:t xml:space="preserve">discuss the </w:t>
      </w:r>
      <w:r w:rsidR="005A070B">
        <w:rPr>
          <w:rFonts w:eastAsia="Batang"/>
          <w:lang w:eastAsia="ko-KR"/>
        </w:rPr>
        <w:t>receiver requirements</w:t>
      </w:r>
      <w:r w:rsidR="001779BE">
        <w:rPr>
          <w:rFonts w:eastAsia="Batang"/>
          <w:lang w:eastAsia="ko-KR"/>
        </w:rPr>
        <w:t>.</w:t>
      </w:r>
      <w:r w:rsidR="00566191">
        <w:rPr>
          <w:rFonts w:eastAsia="Batang"/>
          <w:lang w:eastAsia="ko-KR"/>
        </w:rPr>
        <w:t xml:space="preserve"> </w:t>
      </w:r>
    </w:p>
    <w:p w14:paraId="1ECA57B6" w14:textId="77777777" w:rsidR="001C3296" w:rsidRDefault="001C3296" w:rsidP="001C3296">
      <w:pPr>
        <w:pStyle w:val="Heading1"/>
      </w:pPr>
      <w:r>
        <w:t>2</w:t>
      </w:r>
      <w:r>
        <w:tab/>
        <w:t>Discussion</w:t>
      </w:r>
    </w:p>
    <w:p w14:paraId="28819DC9" w14:textId="67847B53" w:rsidR="005A070B" w:rsidRDefault="008F7F07" w:rsidP="005A070B">
      <w:r>
        <w:t>The status of IAB-Node receiver requirements in FR2 have been summarized in Table 1. In this contribution we summarize our views for the requirements where no agreement has not been reached yet.</w:t>
      </w:r>
    </w:p>
    <w:p w14:paraId="631F5659" w14:textId="32366D1C" w:rsidR="008F7F07" w:rsidRPr="008F7F07" w:rsidRDefault="008F7F07" w:rsidP="008F7F07">
      <w:pPr>
        <w:jc w:val="center"/>
        <w:rPr>
          <w:b/>
          <w:bCs/>
        </w:rPr>
      </w:pPr>
      <w:r>
        <w:rPr>
          <w:b/>
          <w:bCs/>
        </w:rPr>
        <w:t>Table 1: Summary of IAB-Node receiver requirements in FR2</w:t>
      </w:r>
    </w:p>
    <w:tbl>
      <w:tblPr>
        <w:tblStyle w:val="TableGrid"/>
        <w:tblW w:w="0" w:type="auto"/>
        <w:tblLook w:val="04A0" w:firstRow="1" w:lastRow="0" w:firstColumn="1" w:lastColumn="0" w:noHBand="0" w:noVBand="1"/>
      </w:tblPr>
      <w:tblGrid>
        <w:gridCol w:w="2405"/>
        <w:gridCol w:w="3603"/>
        <w:gridCol w:w="3603"/>
      </w:tblGrid>
      <w:tr w:rsidR="005A070B" w14:paraId="63611921" w14:textId="77777777" w:rsidTr="005A070B">
        <w:tc>
          <w:tcPr>
            <w:tcW w:w="2405" w:type="dxa"/>
          </w:tcPr>
          <w:p w14:paraId="26DA6EFC" w14:textId="77777777" w:rsidR="005A070B" w:rsidRDefault="005A070B" w:rsidP="00F37DB5">
            <w:pPr>
              <w:keepNext/>
              <w:spacing w:after="0" w:line="276" w:lineRule="auto"/>
              <w:jc w:val="center"/>
              <w:rPr>
                <w:b/>
                <w:bCs/>
                <w:lang w:val="en-US"/>
              </w:rPr>
            </w:pPr>
            <w:r>
              <w:rPr>
                <w:b/>
                <w:bCs/>
                <w:lang w:val="en-US"/>
              </w:rPr>
              <w:t>RF Requirement</w:t>
            </w:r>
          </w:p>
        </w:tc>
        <w:tc>
          <w:tcPr>
            <w:tcW w:w="3603" w:type="dxa"/>
          </w:tcPr>
          <w:p w14:paraId="24E08D8B" w14:textId="77777777" w:rsidR="005A070B" w:rsidRDefault="005A070B" w:rsidP="00F37DB5">
            <w:pPr>
              <w:keepNext/>
              <w:spacing w:after="0" w:line="276" w:lineRule="auto"/>
              <w:jc w:val="center"/>
              <w:rPr>
                <w:b/>
                <w:bCs/>
                <w:lang w:val="en-US"/>
              </w:rPr>
            </w:pPr>
            <w:r>
              <w:rPr>
                <w:b/>
                <w:bCs/>
                <w:lang w:val="en-US"/>
              </w:rPr>
              <w:t>IAB-MT</w:t>
            </w:r>
          </w:p>
        </w:tc>
        <w:tc>
          <w:tcPr>
            <w:tcW w:w="3603" w:type="dxa"/>
          </w:tcPr>
          <w:p w14:paraId="55A2D8B9" w14:textId="77777777" w:rsidR="005A070B" w:rsidRDefault="005A070B" w:rsidP="00F37DB5">
            <w:pPr>
              <w:keepNext/>
              <w:spacing w:after="0" w:line="276" w:lineRule="auto"/>
              <w:jc w:val="center"/>
              <w:rPr>
                <w:b/>
                <w:bCs/>
                <w:lang w:val="en-US"/>
              </w:rPr>
            </w:pPr>
            <w:r>
              <w:rPr>
                <w:b/>
                <w:bCs/>
                <w:lang w:val="en-US"/>
              </w:rPr>
              <w:t>IAB-DU</w:t>
            </w:r>
          </w:p>
        </w:tc>
      </w:tr>
      <w:tr w:rsidR="005A070B" w14:paraId="5BFEBF0D" w14:textId="77777777" w:rsidTr="00F37DB5">
        <w:tblPrEx>
          <w:jc w:val="center"/>
        </w:tblPrEx>
        <w:trPr>
          <w:jc w:val="center"/>
        </w:trPr>
        <w:tc>
          <w:tcPr>
            <w:tcW w:w="2405" w:type="dxa"/>
            <w:vAlign w:val="center"/>
          </w:tcPr>
          <w:p w14:paraId="61610623" w14:textId="77777777" w:rsidR="005A070B" w:rsidRPr="001F70A0" w:rsidRDefault="005A070B" w:rsidP="00F37DB5">
            <w:pPr>
              <w:keepNext/>
              <w:spacing w:after="0" w:line="276" w:lineRule="auto"/>
              <w:jc w:val="center"/>
              <w:rPr>
                <w:lang w:val="en-US"/>
              </w:rPr>
            </w:pPr>
            <w:r w:rsidRPr="006D3B02">
              <w:rPr>
                <w:lang w:val="en-US"/>
              </w:rPr>
              <w:t>OTA reference sensitivity level</w:t>
            </w:r>
          </w:p>
        </w:tc>
        <w:tc>
          <w:tcPr>
            <w:tcW w:w="3603" w:type="dxa"/>
            <w:vAlign w:val="center"/>
          </w:tcPr>
          <w:p w14:paraId="62354774" w14:textId="2D4B320E" w:rsidR="005A070B" w:rsidRDefault="008F7F07" w:rsidP="00F37DB5">
            <w:pPr>
              <w:keepNext/>
              <w:spacing w:after="0" w:line="276" w:lineRule="auto"/>
              <w:rPr>
                <w:lang w:val="en-US"/>
              </w:rPr>
            </w:pPr>
            <w:r>
              <w:rPr>
                <w:lang w:val="en-US"/>
              </w:rPr>
              <w:t>Under discussion</w:t>
            </w:r>
          </w:p>
        </w:tc>
        <w:tc>
          <w:tcPr>
            <w:tcW w:w="3603" w:type="dxa"/>
          </w:tcPr>
          <w:p w14:paraId="310305B5" w14:textId="0E5E17D8" w:rsidR="005A070B" w:rsidRDefault="008F7F07" w:rsidP="00F37DB5">
            <w:pPr>
              <w:keepNext/>
              <w:spacing w:after="0" w:line="276" w:lineRule="auto"/>
              <w:rPr>
                <w:lang w:val="en-US"/>
              </w:rPr>
            </w:pPr>
            <w:r>
              <w:rPr>
                <w:lang w:val="en-US"/>
              </w:rPr>
              <w:t>Under discussion</w:t>
            </w:r>
          </w:p>
        </w:tc>
      </w:tr>
      <w:tr w:rsidR="005A070B" w14:paraId="21194E1E" w14:textId="77777777" w:rsidTr="00F37DB5">
        <w:tblPrEx>
          <w:jc w:val="center"/>
        </w:tblPrEx>
        <w:trPr>
          <w:trHeight w:val="202"/>
          <w:jc w:val="center"/>
        </w:trPr>
        <w:tc>
          <w:tcPr>
            <w:tcW w:w="2405" w:type="dxa"/>
            <w:vMerge w:val="restart"/>
            <w:vAlign w:val="center"/>
          </w:tcPr>
          <w:p w14:paraId="56F44ECE" w14:textId="77777777" w:rsidR="005A070B" w:rsidRPr="001F70A0" w:rsidRDefault="005A070B" w:rsidP="00F37DB5">
            <w:pPr>
              <w:keepNext/>
              <w:spacing w:after="0" w:line="276" w:lineRule="auto"/>
              <w:jc w:val="center"/>
              <w:rPr>
                <w:lang w:val="en-US"/>
              </w:rPr>
            </w:pPr>
            <w:r w:rsidRPr="00FC3C69">
              <w:rPr>
                <w:lang w:val="en-US"/>
              </w:rPr>
              <w:t>OTA in-band selectivity and blocking</w:t>
            </w:r>
          </w:p>
        </w:tc>
        <w:tc>
          <w:tcPr>
            <w:tcW w:w="3603" w:type="dxa"/>
            <w:vAlign w:val="center"/>
          </w:tcPr>
          <w:p w14:paraId="7580230D" w14:textId="732E2E1E" w:rsidR="005A070B" w:rsidRDefault="005A070B" w:rsidP="00F37DB5">
            <w:pPr>
              <w:keepNext/>
              <w:spacing w:after="0" w:line="276" w:lineRule="auto"/>
              <w:rPr>
                <w:lang w:val="en-US"/>
              </w:rPr>
            </w:pPr>
            <w:r>
              <w:rPr>
                <w:lang w:val="en-US"/>
              </w:rPr>
              <w:t xml:space="preserve">ACS: </w:t>
            </w:r>
            <w:r w:rsidR="0006355F">
              <w:rPr>
                <w:lang w:val="en-US"/>
              </w:rPr>
              <w:t>[23.5 … 22.5] dB</w:t>
            </w:r>
          </w:p>
        </w:tc>
        <w:tc>
          <w:tcPr>
            <w:tcW w:w="3603" w:type="dxa"/>
            <w:vMerge w:val="restart"/>
          </w:tcPr>
          <w:p w14:paraId="39B3D069" w14:textId="77777777" w:rsidR="008F7F07" w:rsidRDefault="008F7F07" w:rsidP="00F37DB5">
            <w:pPr>
              <w:keepNext/>
              <w:spacing w:after="0" w:line="276" w:lineRule="auto"/>
              <w:rPr>
                <w:lang w:val="en-US"/>
              </w:rPr>
            </w:pPr>
            <w:r>
              <w:rPr>
                <w:lang w:val="en-US"/>
              </w:rPr>
              <w:t xml:space="preserve">ACS: [23.5 … 22.5] dB </w:t>
            </w:r>
          </w:p>
          <w:p w14:paraId="4FCDB158" w14:textId="5D8E5DDD" w:rsidR="008F7F07" w:rsidRDefault="008F7F07" w:rsidP="00F37DB5">
            <w:pPr>
              <w:keepNext/>
              <w:spacing w:after="0" w:line="276" w:lineRule="auto"/>
              <w:rPr>
                <w:lang w:val="en-US"/>
              </w:rPr>
            </w:pPr>
            <w:r>
              <w:rPr>
                <w:lang w:val="en-US"/>
              </w:rPr>
              <w:t>In-band blocking: covered in [2]</w:t>
            </w:r>
          </w:p>
        </w:tc>
      </w:tr>
      <w:tr w:rsidR="005A070B" w:rsidRPr="005C3847" w14:paraId="006FDFE5" w14:textId="77777777" w:rsidTr="00F37DB5">
        <w:tblPrEx>
          <w:jc w:val="center"/>
        </w:tblPrEx>
        <w:trPr>
          <w:trHeight w:val="201"/>
          <w:jc w:val="center"/>
        </w:trPr>
        <w:tc>
          <w:tcPr>
            <w:tcW w:w="2405" w:type="dxa"/>
            <w:vMerge/>
            <w:vAlign w:val="center"/>
          </w:tcPr>
          <w:p w14:paraId="62D6A3DF" w14:textId="77777777" w:rsidR="005A070B" w:rsidRPr="00FC3C69" w:rsidRDefault="005A070B" w:rsidP="00F37DB5">
            <w:pPr>
              <w:keepNext/>
              <w:spacing w:after="0" w:line="276" w:lineRule="auto"/>
              <w:jc w:val="center"/>
              <w:rPr>
                <w:lang w:val="en-US"/>
              </w:rPr>
            </w:pPr>
          </w:p>
        </w:tc>
        <w:tc>
          <w:tcPr>
            <w:tcW w:w="3603" w:type="dxa"/>
            <w:vAlign w:val="center"/>
          </w:tcPr>
          <w:p w14:paraId="5F598D15" w14:textId="0F232B9E" w:rsidR="005A070B" w:rsidRDefault="005A070B" w:rsidP="00F37DB5">
            <w:pPr>
              <w:keepNext/>
              <w:spacing w:after="0" w:line="276" w:lineRule="auto"/>
              <w:rPr>
                <w:lang w:val="en-US"/>
              </w:rPr>
            </w:pPr>
            <w:r>
              <w:rPr>
                <w:lang w:val="en-US"/>
              </w:rPr>
              <w:t xml:space="preserve">In-band blocking: </w:t>
            </w:r>
            <w:r w:rsidR="0006355F">
              <w:rPr>
                <w:lang w:val="en-US"/>
              </w:rPr>
              <w:t>covered in [2]</w:t>
            </w:r>
          </w:p>
        </w:tc>
        <w:tc>
          <w:tcPr>
            <w:tcW w:w="3603" w:type="dxa"/>
            <w:vMerge/>
          </w:tcPr>
          <w:p w14:paraId="09864E20" w14:textId="77777777" w:rsidR="005A070B" w:rsidRPr="005C3847" w:rsidRDefault="005A070B" w:rsidP="00F37DB5">
            <w:pPr>
              <w:keepNext/>
              <w:spacing w:after="0" w:line="276" w:lineRule="auto"/>
              <w:rPr>
                <w:lang w:val="en-US"/>
              </w:rPr>
            </w:pPr>
          </w:p>
        </w:tc>
      </w:tr>
      <w:tr w:rsidR="008F7F07" w:rsidRPr="005C3847" w14:paraId="56CFB046" w14:textId="77777777" w:rsidTr="00633B01">
        <w:tblPrEx>
          <w:jc w:val="center"/>
        </w:tblPrEx>
        <w:trPr>
          <w:trHeight w:val="201"/>
          <w:jc w:val="center"/>
        </w:trPr>
        <w:tc>
          <w:tcPr>
            <w:tcW w:w="2405" w:type="dxa"/>
            <w:vAlign w:val="center"/>
          </w:tcPr>
          <w:p w14:paraId="5EED057E" w14:textId="77777777" w:rsidR="008F7F07" w:rsidRPr="00FC3C69" w:rsidRDefault="008F7F07" w:rsidP="008F7F07">
            <w:pPr>
              <w:keepNext/>
              <w:spacing w:after="0" w:line="276" w:lineRule="auto"/>
              <w:jc w:val="center"/>
              <w:rPr>
                <w:lang w:val="en-US"/>
              </w:rPr>
            </w:pPr>
            <w:r>
              <w:rPr>
                <w:lang w:val="en-US"/>
              </w:rPr>
              <w:t>OTA maximum input level</w:t>
            </w:r>
          </w:p>
        </w:tc>
        <w:tc>
          <w:tcPr>
            <w:tcW w:w="3603" w:type="dxa"/>
            <w:vAlign w:val="center"/>
          </w:tcPr>
          <w:p w14:paraId="45F8A08B" w14:textId="31FDBA1F" w:rsidR="008F7F07" w:rsidRDefault="008F7F07" w:rsidP="008F7F07">
            <w:pPr>
              <w:keepNext/>
              <w:spacing w:after="0" w:line="276" w:lineRule="auto"/>
              <w:rPr>
                <w:lang w:val="en-US"/>
              </w:rPr>
            </w:pPr>
            <w:r>
              <w:rPr>
                <w:lang w:val="en-US"/>
              </w:rPr>
              <w:t>Agreed not to be defined [1]</w:t>
            </w:r>
          </w:p>
        </w:tc>
        <w:tc>
          <w:tcPr>
            <w:tcW w:w="3603" w:type="dxa"/>
            <w:vAlign w:val="center"/>
          </w:tcPr>
          <w:p w14:paraId="6E33DDC5" w14:textId="6AE2CA35" w:rsidR="008F7F07" w:rsidRPr="005C3847" w:rsidRDefault="008F7F07" w:rsidP="008F7F07">
            <w:pPr>
              <w:keepNext/>
              <w:spacing w:after="0" w:line="276" w:lineRule="auto"/>
              <w:rPr>
                <w:lang w:val="en-US"/>
              </w:rPr>
            </w:pPr>
            <w:r>
              <w:rPr>
                <w:lang w:val="en-US"/>
              </w:rPr>
              <w:t>Agreed not to be defined [1]</w:t>
            </w:r>
          </w:p>
        </w:tc>
      </w:tr>
      <w:tr w:rsidR="005A070B" w14:paraId="459CB917" w14:textId="77777777" w:rsidTr="00F37DB5">
        <w:tblPrEx>
          <w:jc w:val="center"/>
        </w:tblPrEx>
        <w:trPr>
          <w:trHeight w:val="201"/>
          <w:jc w:val="center"/>
        </w:trPr>
        <w:tc>
          <w:tcPr>
            <w:tcW w:w="2405" w:type="dxa"/>
            <w:vAlign w:val="center"/>
          </w:tcPr>
          <w:p w14:paraId="78AA41DF" w14:textId="77777777" w:rsidR="005A070B" w:rsidRDefault="005A070B" w:rsidP="00F37DB5">
            <w:pPr>
              <w:keepNext/>
              <w:spacing w:after="0" w:line="276" w:lineRule="auto"/>
              <w:jc w:val="center"/>
              <w:rPr>
                <w:lang w:val="en-US"/>
              </w:rPr>
            </w:pPr>
            <w:r>
              <w:rPr>
                <w:lang w:val="en-US"/>
              </w:rPr>
              <w:t>OTA out-of-band blocking</w:t>
            </w:r>
          </w:p>
        </w:tc>
        <w:tc>
          <w:tcPr>
            <w:tcW w:w="3603" w:type="dxa"/>
            <w:vAlign w:val="center"/>
          </w:tcPr>
          <w:p w14:paraId="36ADFD0D" w14:textId="4B1E294A" w:rsidR="005A070B" w:rsidRDefault="005A070B" w:rsidP="00F37DB5">
            <w:pPr>
              <w:keepNext/>
              <w:spacing w:after="0" w:line="276" w:lineRule="auto"/>
              <w:rPr>
                <w:lang w:val="en-US"/>
              </w:rPr>
            </w:pPr>
            <w:r>
              <w:rPr>
                <w:lang w:val="en-US"/>
              </w:rPr>
              <w:t>Currently not defined for UE</w:t>
            </w:r>
          </w:p>
        </w:tc>
        <w:tc>
          <w:tcPr>
            <w:tcW w:w="3603" w:type="dxa"/>
          </w:tcPr>
          <w:p w14:paraId="4BD1AB12" w14:textId="5AF05030" w:rsidR="005A070B" w:rsidRDefault="008F7F07" w:rsidP="00F37DB5">
            <w:pPr>
              <w:keepNext/>
              <w:spacing w:after="0" w:line="276" w:lineRule="auto"/>
              <w:rPr>
                <w:lang w:val="en-US"/>
              </w:rPr>
            </w:pPr>
            <w:r>
              <w:rPr>
                <w:lang w:val="en-US"/>
              </w:rPr>
              <w:t>Under discussion</w:t>
            </w:r>
          </w:p>
        </w:tc>
      </w:tr>
      <w:tr w:rsidR="005A070B" w14:paraId="6FCA346A" w14:textId="77777777" w:rsidTr="00F37DB5">
        <w:tblPrEx>
          <w:jc w:val="center"/>
        </w:tblPrEx>
        <w:trPr>
          <w:trHeight w:val="201"/>
          <w:jc w:val="center"/>
        </w:trPr>
        <w:tc>
          <w:tcPr>
            <w:tcW w:w="2405" w:type="dxa"/>
            <w:vAlign w:val="center"/>
          </w:tcPr>
          <w:p w14:paraId="2875823F" w14:textId="77777777" w:rsidR="005A070B" w:rsidRDefault="005A070B" w:rsidP="00F37DB5">
            <w:pPr>
              <w:keepNext/>
              <w:spacing w:after="0" w:line="276" w:lineRule="auto"/>
              <w:jc w:val="center"/>
              <w:rPr>
                <w:lang w:val="en-US"/>
              </w:rPr>
            </w:pPr>
            <w:r w:rsidRPr="003D4258">
              <w:rPr>
                <w:lang w:val="en-US"/>
              </w:rPr>
              <w:t>OTA receiver spurious emissions</w:t>
            </w:r>
          </w:p>
        </w:tc>
        <w:tc>
          <w:tcPr>
            <w:tcW w:w="3603" w:type="dxa"/>
            <w:vAlign w:val="center"/>
          </w:tcPr>
          <w:p w14:paraId="3F126B07" w14:textId="05027A65" w:rsidR="005A070B" w:rsidRDefault="0006355F" w:rsidP="00F37DB5">
            <w:pPr>
              <w:keepNext/>
              <w:spacing w:after="0" w:line="276" w:lineRule="auto"/>
              <w:rPr>
                <w:lang w:val="en-US"/>
              </w:rPr>
            </w:pPr>
            <w:r>
              <w:rPr>
                <w:lang w:val="en-US"/>
              </w:rPr>
              <w:t>Agreed to re-use</w:t>
            </w:r>
            <w:r w:rsidR="005A070B">
              <w:rPr>
                <w:lang w:val="en-US"/>
              </w:rPr>
              <w:t xml:space="preserve"> BS specs</w:t>
            </w:r>
            <w:r>
              <w:rPr>
                <w:lang w:val="en-US"/>
              </w:rPr>
              <w:t xml:space="preserve"> [1]</w:t>
            </w:r>
          </w:p>
        </w:tc>
        <w:tc>
          <w:tcPr>
            <w:tcW w:w="3603" w:type="dxa"/>
          </w:tcPr>
          <w:p w14:paraId="40A0B19A" w14:textId="6C084CBD" w:rsidR="005A070B" w:rsidRDefault="008F7F07" w:rsidP="00F37DB5">
            <w:pPr>
              <w:keepNext/>
              <w:spacing w:after="0" w:line="276" w:lineRule="auto"/>
              <w:rPr>
                <w:lang w:val="en-US"/>
              </w:rPr>
            </w:pPr>
            <w:r>
              <w:rPr>
                <w:lang w:val="en-US"/>
              </w:rPr>
              <w:t>Under discussion</w:t>
            </w:r>
          </w:p>
        </w:tc>
      </w:tr>
      <w:tr w:rsidR="005A070B" w14:paraId="12941353" w14:textId="77777777" w:rsidTr="00F37DB5">
        <w:tblPrEx>
          <w:jc w:val="center"/>
        </w:tblPrEx>
        <w:trPr>
          <w:trHeight w:val="201"/>
          <w:jc w:val="center"/>
        </w:trPr>
        <w:tc>
          <w:tcPr>
            <w:tcW w:w="2405" w:type="dxa"/>
            <w:vAlign w:val="center"/>
          </w:tcPr>
          <w:p w14:paraId="3B49ADAF" w14:textId="77777777" w:rsidR="005A070B" w:rsidRDefault="005A070B" w:rsidP="00F37DB5">
            <w:pPr>
              <w:keepNext/>
              <w:spacing w:after="0" w:line="276" w:lineRule="auto"/>
              <w:jc w:val="center"/>
              <w:rPr>
                <w:lang w:val="en-US"/>
              </w:rPr>
            </w:pPr>
            <w:r>
              <w:rPr>
                <w:lang w:val="en-US"/>
              </w:rPr>
              <w:t>OTA receiver intermodulation</w:t>
            </w:r>
          </w:p>
        </w:tc>
        <w:tc>
          <w:tcPr>
            <w:tcW w:w="3603" w:type="dxa"/>
            <w:vAlign w:val="center"/>
          </w:tcPr>
          <w:p w14:paraId="1498F110" w14:textId="5F22E95A" w:rsidR="005A070B" w:rsidRDefault="005A070B" w:rsidP="00F37DB5">
            <w:pPr>
              <w:keepNext/>
              <w:spacing w:after="0" w:line="276" w:lineRule="auto"/>
              <w:rPr>
                <w:lang w:val="en-US"/>
              </w:rPr>
            </w:pPr>
            <w:r>
              <w:rPr>
                <w:lang w:val="en-US"/>
              </w:rPr>
              <w:t>Currently not defined for UE</w:t>
            </w:r>
          </w:p>
        </w:tc>
        <w:tc>
          <w:tcPr>
            <w:tcW w:w="3603" w:type="dxa"/>
          </w:tcPr>
          <w:p w14:paraId="4A64A829" w14:textId="41332F16" w:rsidR="005A070B" w:rsidRDefault="008F7F07" w:rsidP="00F37DB5">
            <w:pPr>
              <w:keepNext/>
              <w:spacing w:after="0" w:line="276" w:lineRule="auto"/>
              <w:rPr>
                <w:lang w:val="en-US"/>
              </w:rPr>
            </w:pPr>
            <w:r>
              <w:rPr>
                <w:lang w:val="en-US"/>
              </w:rPr>
              <w:t>Under discussion</w:t>
            </w:r>
          </w:p>
        </w:tc>
      </w:tr>
      <w:tr w:rsidR="008F7F07" w14:paraId="08F0C82D" w14:textId="77777777" w:rsidTr="00F37DB5">
        <w:tblPrEx>
          <w:jc w:val="center"/>
        </w:tblPrEx>
        <w:trPr>
          <w:trHeight w:val="201"/>
          <w:jc w:val="center"/>
        </w:trPr>
        <w:tc>
          <w:tcPr>
            <w:tcW w:w="2405" w:type="dxa"/>
            <w:vAlign w:val="center"/>
          </w:tcPr>
          <w:p w14:paraId="55B6163E" w14:textId="77777777" w:rsidR="008F7F07" w:rsidRDefault="008F7F07" w:rsidP="008F7F07">
            <w:pPr>
              <w:keepNext/>
              <w:spacing w:after="0" w:line="276" w:lineRule="auto"/>
              <w:jc w:val="center"/>
              <w:rPr>
                <w:lang w:val="en-US"/>
              </w:rPr>
            </w:pPr>
            <w:r>
              <w:rPr>
                <w:lang w:val="en-US"/>
              </w:rPr>
              <w:t>OTA in-channel selectivity</w:t>
            </w:r>
          </w:p>
        </w:tc>
        <w:tc>
          <w:tcPr>
            <w:tcW w:w="3603" w:type="dxa"/>
            <w:vAlign w:val="center"/>
          </w:tcPr>
          <w:p w14:paraId="4580201D" w14:textId="3A675388" w:rsidR="008F7F07" w:rsidRDefault="008F7F07" w:rsidP="008F7F07">
            <w:pPr>
              <w:keepNext/>
              <w:spacing w:after="0" w:line="276" w:lineRule="auto"/>
              <w:rPr>
                <w:lang w:val="en-US"/>
              </w:rPr>
            </w:pPr>
            <w:r>
              <w:rPr>
                <w:lang w:val="en-US"/>
              </w:rPr>
              <w:t>Currently not defined for UE</w:t>
            </w:r>
          </w:p>
        </w:tc>
        <w:tc>
          <w:tcPr>
            <w:tcW w:w="3603" w:type="dxa"/>
          </w:tcPr>
          <w:p w14:paraId="5F5CDF56" w14:textId="5FA2099D" w:rsidR="008F7F07" w:rsidRDefault="008F7F07" w:rsidP="008F7F07">
            <w:pPr>
              <w:keepNext/>
              <w:spacing w:after="0" w:line="276" w:lineRule="auto"/>
              <w:rPr>
                <w:lang w:val="en-US"/>
              </w:rPr>
            </w:pPr>
            <w:r>
              <w:rPr>
                <w:lang w:val="en-US"/>
              </w:rPr>
              <w:t>Under discussion</w:t>
            </w:r>
          </w:p>
        </w:tc>
      </w:tr>
    </w:tbl>
    <w:p w14:paraId="38B3962E" w14:textId="574D42D4" w:rsidR="00D309FF" w:rsidRDefault="00D309FF" w:rsidP="00E32CD3">
      <w:pPr>
        <w:rPr>
          <w:b/>
          <w:bCs/>
        </w:rPr>
      </w:pPr>
    </w:p>
    <w:p w14:paraId="3E4AD153" w14:textId="7A730891" w:rsidR="003C755F" w:rsidRDefault="003C755F" w:rsidP="00E32CD3">
      <w:r>
        <w:t xml:space="preserve">As IAB-DU is operating in similar conditions and in similar manner as regular </w:t>
      </w:r>
      <w:proofErr w:type="spellStart"/>
      <w:r>
        <w:t>gNB</w:t>
      </w:r>
      <w:proofErr w:type="spellEnd"/>
      <w:r>
        <w:t>, we see that for all the receiver requirements in FR2 base station requirements can be re-used. This includes also in-band blocking which is discussed more in detailed in [2].</w:t>
      </w:r>
    </w:p>
    <w:p w14:paraId="7126A2C4" w14:textId="06D631BB" w:rsidR="003C755F" w:rsidRPr="003C755F" w:rsidRDefault="003C755F" w:rsidP="00E32CD3">
      <w:pPr>
        <w:rPr>
          <w:b/>
          <w:bCs/>
        </w:rPr>
      </w:pPr>
      <w:r w:rsidRPr="003C755F">
        <w:rPr>
          <w:b/>
          <w:bCs/>
        </w:rPr>
        <w:t xml:space="preserve">Proposal 1: Re-use BS </w:t>
      </w:r>
      <w:r>
        <w:rPr>
          <w:b/>
          <w:bCs/>
        </w:rPr>
        <w:t xml:space="preserve">type 2-O </w:t>
      </w:r>
      <w:r w:rsidRPr="003C755F">
        <w:rPr>
          <w:b/>
          <w:bCs/>
        </w:rPr>
        <w:t xml:space="preserve">receiver requirements for IAB-DU for all </w:t>
      </w:r>
      <w:r w:rsidR="00535D2B">
        <w:rPr>
          <w:b/>
          <w:bCs/>
        </w:rPr>
        <w:t xml:space="preserve">receiver </w:t>
      </w:r>
      <w:r w:rsidRPr="003C755F">
        <w:rPr>
          <w:b/>
          <w:bCs/>
        </w:rPr>
        <w:t>requirements in FR2</w:t>
      </w:r>
      <w:r>
        <w:rPr>
          <w:b/>
          <w:bCs/>
        </w:rPr>
        <w:t>.</w:t>
      </w:r>
    </w:p>
    <w:p w14:paraId="757E7967" w14:textId="6A18870F" w:rsidR="003C755F" w:rsidRPr="003C755F" w:rsidRDefault="003C755F" w:rsidP="00E32CD3">
      <w:r w:rsidRPr="003C755F">
        <w:t xml:space="preserve">For </w:t>
      </w:r>
      <w:r>
        <w:t xml:space="preserve">IAB-MT the situation is more </w:t>
      </w:r>
      <w:r w:rsidR="003C5295">
        <w:t>complicated,</w:t>
      </w:r>
      <w:r>
        <w:t xml:space="preserve"> and the requirements are discussed one-by-one below.</w:t>
      </w:r>
    </w:p>
    <w:p w14:paraId="1DE5CF97" w14:textId="77777777" w:rsidR="003C5295" w:rsidRDefault="003C5295" w:rsidP="00E32CD3">
      <w:pPr>
        <w:rPr>
          <w:b/>
          <w:bCs/>
          <w:u w:val="single"/>
        </w:rPr>
      </w:pPr>
    </w:p>
    <w:p w14:paraId="35163DE1" w14:textId="3710E31E" w:rsidR="008F4B36" w:rsidRDefault="008F4B36" w:rsidP="00E32CD3">
      <w:pPr>
        <w:rPr>
          <w:b/>
          <w:bCs/>
          <w:u w:val="single"/>
        </w:rPr>
      </w:pPr>
      <w:r>
        <w:rPr>
          <w:b/>
          <w:bCs/>
          <w:u w:val="single"/>
        </w:rPr>
        <w:t>Reference sensitivity</w:t>
      </w:r>
    </w:p>
    <w:p w14:paraId="0D5D42FA" w14:textId="7BED8B00" w:rsidR="003C5295" w:rsidRDefault="003C5295" w:rsidP="00E32CD3">
      <w:pPr>
        <w:rPr>
          <w:lang w:val="en-US"/>
        </w:rPr>
      </w:pPr>
      <w:r w:rsidRPr="003C5295">
        <w:rPr>
          <w:lang w:val="en-US"/>
        </w:rPr>
        <w:t xml:space="preserve">We </w:t>
      </w:r>
      <w:r>
        <w:rPr>
          <w:lang w:val="en-US"/>
        </w:rPr>
        <w:t xml:space="preserve">see that IAB-MTs can have different antenna sizes. Depending on deployments the beamforming capabilities, i.e. the range within which receiver target direction can be varied can also be different: In some </w:t>
      </w:r>
      <w:proofErr w:type="gramStart"/>
      <w:r>
        <w:rPr>
          <w:lang w:val="en-US"/>
        </w:rPr>
        <w:t>cases</w:t>
      </w:r>
      <w:proofErr w:type="gramEnd"/>
      <w:r>
        <w:rPr>
          <w:lang w:val="en-US"/>
        </w:rPr>
        <w:t xml:space="preserve"> the angles of arrival may have greater range than in other cases. Therefore, from our point of view there is no need to limit these in the specification. This can be in practice achieved by adopting the same concept as used in BS requirements, but adapting the range of allowed sensitivity declarations.</w:t>
      </w:r>
    </w:p>
    <w:p w14:paraId="3D835284" w14:textId="1842B4D3" w:rsidR="003C755F" w:rsidRDefault="003C5295" w:rsidP="00E32CD3">
      <w:pPr>
        <w:rPr>
          <w:lang w:val="en-US"/>
        </w:rPr>
      </w:pPr>
      <w:r>
        <w:rPr>
          <w:lang w:val="en-US"/>
        </w:rPr>
        <w:t>Specifically, in [2] we have proposed to have only a single power class or category for IAB-MT in FR2. In the context of reference sensitivity this means that the specification should allow at least as great range for reference sensitivity declaration than what is allowed for all BS classes combined.</w:t>
      </w:r>
    </w:p>
    <w:p w14:paraId="521FB1C8" w14:textId="37DC21B9" w:rsidR="00105DAB" w:rsidRDefault="00105DAB" w:rsidP="00E32CD3">
      <w:pPr>
        <w:rPr>
          <w:lang w:val="en-US"/>
        </w:rPr>
      </w:pPr>
      <w:proofErr w:type="gramStart"/>
      <w:r>
        <w:rPr>
          <w:lang w:val="en-US"/>
        </w:rPr>
        <w:lastRenderedPageBreak/>
        <w:t>Also</w:t>
      </w:r>
      <w:proofErr w:type="gramEnd"/>
      <w:r>
        <w:rPr>
          <w:lang w:val="en-US"/>
        </w:rPr>
        <w:t xml:space="preserve"> IAB-Nodes can be deployed for multiple purposes, including extending coverage and filling coverage holes and the multitude of use cases also means that in some cases the receiver sensitivity capabilities of IAB-DU and IAB-MT may differ from each other e.g. due to different antenna array size. </w:t>
      </w:r>
      <w:proofErr w:type="gramStart"/>
      <w:r>
        <w:rPr>
          <w:lang w:val="en-US"/>
        </w:rPr>
        <w:t>Therefore</w:t>
      </w:r>
      <w:proofErr w:type="gramEnd"/>
      <w:r>
        <w:rPr>
          <w:lang w:val="en-US"/>
        </w:rPr>
        <w:t xml:space="preserve"> we see it beneficial to be able to declare IAB-MT and IAB-DU sensitivity independent of each other.</w:t>
      </w:r>
    </w:p>
    <w:p w14:paraId="45536118" w14:textId="12BA4733" w:rsidR="003C5295" w:rsidRDefault="003C5295" w:rsidP="00E32CD3">
      <w:pPr>
        <w:rPr>
          <w:b/>
          <w:bCs/>
          <w:lang w:val="en-US"/>
        </w:rPr>
      </w:pPr>
      <w:r w:rsidRPr="003C5295">
        <w:rPr>
          <w:b/>
          <w:bCs/>
          <w:lang w:val="en-US"/>
        </w:rPr>
        <w:t xml:space="preserve">Proposal </w:t>
      </w:r>
      <w:r w:rsidR="00535D2B">
        <w:rPr>
          <w:b/>
          <w:bCs/>
          <w:lang w:val="en-US"/>
        </w:rPr>
        <w:t>2</w:t>
      </w:r>
      <w:r w:rsidRPr="003C5295">
        <w:rPr>
          <w:b/>
          <w:bCs/>
          <w:lang w:val="en-US"/>
        </w:rPr>
        <w:t>:</w:t>
      </w:r>
      <w:r>
        <w:rPr>
          <w:b/>
          <w:bCs/>
          <w:lang w:val="en-US"/>
        </w:rPr>
        <w:t xml:space="preserve"> </w:t>
      </w:r>
      <w:proofErr w:type="gramStart"/>
      <w:r>
        <w:rPr>
          <w:b/>
          <w:bCs/>
          <w:lang w:val="en-US"/>
        </w:rPr>
        <w:t>Similarly</w:t>
      </w:r>
      <w:proofErr w:type="gramEnd"/>
      <w:r>
        <w:rPr>
          <w:b/>
          <w:bCs/>
          <w:lang w:val="en-US"/>
        </w:rPr>
        <w:t xml:space="preserve"> as BS, IAB-MT shall declare its reference sensitivity</w:t>
      </w:r>
    </w:p>
    <w:p w14:paraId="09277B9F" w14:textId="2CB751CF" w:rsidR="003C5295" w:rsidRDefault="003C5295" w:rsidP="00E32CD3">
      <w:pPr>
        <w:rPr>
          <w:b/>
          <w:bCs/>
          <w:lang w:val="en-US"/>
        </w:rPr>
      </w:pPr>
      <w:r>
        <w:rPr>
          <w:b/>
          <w:bCs/>
          <w:lang w:val="en-US"/>
        </w:rPr>
        <w:t xml:space="preserve">Proposal </w:t>
      </w:r>
      <w:r w:rsidR="00535D2B">
        <w:rPr>
          <w:b/>
          <w:bCs/>
          <w:lang w:val="en-US"/>
        </w:rPr>
        <w:t>3</w:t>
      </w:r>
      <w:r>
        <w:rPr>
          <w:b/>
          <w:bCs/>
          <w:lang w:val="en-US"/>
        </w:rPr>
        <w:t>: The range of allowed reference sensitivity declarations shall cover at least the range from lowest allowed power from wide area BS type 2-O to highest power allowed for local area BS type 2-O.</w:t>
      </w:r>
    </w:p>
    <w:p w14:paraId="44544BF9" w14:textId="77777777" w:rsidR="00105DAB" w:rsidRDefault="00105DAB" w:rsidP="00105DAB">
      <w:pPr>
        <w:rPr>
          <w:b/>
          <w:bCs/>
          <w:lang w:val="en-US"/>
        </w:rPr>
      </w:pPr>
      <w:r>
        <w:rPr>
          <w:b/>
          <w:bCs/>
          <w:lang w:val="en-US"/>
        </w:rPr>
        <w:t>Proposal 4: IAB-MT and IAB-DU reference sensitivity declarations shall be independent of each other.</w:t>
      </w:r>
    </w:p>
    <w:p w14:paraId="2ACDDFD6" w14:textId="77777777" w:rsidR="003C5295" w:rsidRPr="003C5295" w:rsidRDefault="003C5295" w:rsidP="00E32CD3">
      <w:pPr>
        <w:rPr>
          <w:b/>
          <w:bCs/>
          <w:lang w:val="en-US"/>
        </w:rPr>
      </w:pPr>
    </w:p>
    <w:p w14:paraId="7067D591" w14:textId="22193E9A" w:rsidR="008F4B36" w:rsidRDefault="008F4B36" w:rsidP="00E32CD3">
      <w:pPr>
        <w:rPr>
          <w:b/>
          <w:bCs/>
          <w:u w:val="single"/>
          <w:lang w:val="en-US"/>
        </w:rPr>
      </w:pPr>
      <w:r w:rsidRPr="008F4B36">
        <w:rPr>
          <w:b/>
          <w:bCs/>
          <w:u w:val="single"/>
          <w:lang w:val="en-US"/>
        </w:rPr>
        <w:t>OTA in-band selectivity and blocking</w:t>
      </w:r>
    </w:p>
    <w:p w14:paraId="1068D0FB" w14:textId="570133DC" w:rsidR="008F4B36" w:rsidRDefault="003C5295" w:rsidP="00E32CD3">
      <w:pPr>
        <w:rPr>
          <w:lang w:val="en-US"/>
        </w:rPr>
      </w:pPr>
      <w:r>
        <w:rPr>
          <w:lang w:val="en-US"/>
        </w:rPr>
        <w:t xml:space="preserve">Based on our studies ACS of 23.5 dB for 24.25 – 29.5 GHz bands and ACS of 22.5 dB for 37-40 GHz bands is </w:t>
      </w:r>
      <w:proofErr w:type="gramStart"/>
      <w:r>
        <w:rPr>
          <w:lang w:val="en-US"/>
        </w:rPr>
        <w:t>sufficient</w:t>
      </w:r>
      <w:proofErr w:type="gramEnd"/>
      <w:r>
        <w:rPr>
          <w:lang w:val="en-US"/>
        </w:rPr>
        <w:t xml:space="preserve"> to guarantee coexistence performance.</w:t>
      </w:r>
    </w:p>
    <w:p w14:paraId="22FC37CA" w14:textId="45ED30D7" w:rsidR="003C5295" w:rsidRDefault="003C5295" w:rsidP="00E32CD3">
      <w:pPr>
        <w:rPr>
          <w:b/>
          <w:bCs/>
          <w:lang w:val="en-US"/>
        </w:rPr>
      </w:pPr>
      <w:r w:rsidRPr="003C5295">
        <w:rPr>
          <w:b/>
          <w:bCs/>
          <w:lang w:val="en-US"/>
        </w:rPr>
        <w:t xml:space="preserve">Proposal </w:t>
      </w:r>
      <w:r w:rsidR="00105DAB">
        <w:rPr>
          <w:b/>
          <w:bCs/>
          <w:lang w:val="en-US"/>
        </w:rPr>
        <w:t>5</w:t>
      </w:r>
      <w:r w:rsidRPr="003C5295">
        <w:rPr>
          <w:b/>
          <w:bCs/>
          <w:lang w:val="en-US"/>
        </w:rPr>
        <w:t xml:space="preserve">: </w:t>
      </w:r>
      <w:r>
        <w:rPr>
          <w:b/>
          <w:bCs/>
          <w:lang w:val="en-US"/>
        </w:rPr>
        <w:t xml:space="preserve">ACS for IAB-MT shall be </w:t>
      </w:r>
    </w:p>
    <w:p w14:paraId="642F5576" w14:textId="100E7BC1" w:rsidR="003C5295" w:rsidRDefault="003C5295" w:rsidP="003C5295">
      <w:pPr>
        <w:pStyle w:val="ListParagraph"/>
        <w:numPr>
          <w:ilvl w:val="0"/>
          <w:numId w:val="16"/>
        </w:numPr>
        <w:rPr>
          <w:b/>
          <w:bCs/>
          <w:lang w:val="en-US"/>
        </w:rPr>
      </w:pPr>
      <w:r w:rsidRPr="003C5295">
        <w:rPr>
          <w:b/>
          <w:bCs/>
          <w:lang w:val="en-US"/>
        </w:rPr>
        <w:t xml:space="preserve">23.5 dB for frequencies 24.25 – 29.5 GHz and </w:t>
      </w:r>
    </w:p>
    <w:p w14:paraId="16AE5496" w14:textId="2E0E8016" w:rsidR="003C5295" w:rsidRPr="003C5295" w:rsidRDefault="003C5295" w:rsidP="003C5295">
      <w:pPr>
        <w:pStyle w:val="ListParagraph"/>
        <w:numPr>
          <w:ilvl w:val="0"/>
          <w:numId w:val="16"/>
        </w:numPr>
        <w:rPr>
          <w:b/>
          <w:bCs/>
          <w:lang w:val="en-US"/>
        </w:rPr>
      </w:pPr>
      <w:r>
        <w:rPr>
          <w:b/>
          <w:bCs/>
          <w:lang w:val="en-US"/>
        </w:rPr>
        <w:t xml:space="preserve">22.5 </w:t>
      </w:r>
      <w:r w:rsidRPr="003C5295">
        <w:rPr>
          <w:b/>
          <w:bCs/>
          <w:lang w:val="en-US"/>
        </w:rPr>
        <w:t xml:space="preserve">dB for frequencies </w:t>
      </w:r>
      <w:r>
        <w:rPr>
          <w:b/>
          <w:bCs/>
          <w:lang w:val="en-US"/>
        </w:rPr>
        <w:t>37</w:t>
      </w:r>
      <w:r w:rsidRPr="003C5295">
        <w:rPr>
          <w:b/>
          <w:bCs/>
          <w:lang w:val="en-US"/>
        </w:rPr>
        <w:t xml:space="preserve"> – </w:t>
      </w:r>
      <w:r>
        <w:rPr>
          <w:b/>
          <w:bCs/>
          <w:lang w:val="en-US"/>
        </w:rPr>
        <w:t>40</w:t>
      </w:r>
      <w:r w:rsidRPr="003C5295">
        <w:rPr>
          <w:b/>
          <w:bCs/>
          <w:lang w:val="en-US"/>
        </w:rPr>
        <w:t xml:space="preserve"> GHz </w:t>
      </w:r>
    </w:p>
    <w:p w14:paraId="4C195D7D" w14:textId="2DCB0D03" w:rsidR="003C5295" w:rsidRPr="00535D2B" w:rsidRDefault="00535D2B" w:rsidP="00E32CD3">
      <w:pPr>
        <w:rPr>
          <w:lang w:val="en-US"/>
        </w:rPr>
      </w:pPr>
      <w:r>
        <w:rPr>
          <w:lang w:val="en-US"/>
        </w:rPr>
        <w:t>In-band blocking is discussed more in detail in [2].</w:t>
      </w:r>
    </w:p>
    <w:p w14:paraId="5F5977B3" w14:textId="77777777" w:rsidR="00535D2B" w:rsidRDefault="00535D2B" w:rsidP="008F4B36">
      <w:pPr>
        <w:keepNext/>
        <w:spacing w:after="0" w:line="276" w:lineRule="auto"/>
        <w:rPr>
          <w:b/>
          <w:bCs/>
          <w:u w:val="single"/>
          <w:lang w:val="en-US"/>
        </w:rPr>
      </w:pPr>
    </w:p>
    <w:p w14:paraId="7CCBFA6B" w14:textId="23250C66" w:rsidR="008F4B36" w:rsidRPr="008F4B36" w:rsidRDefault="008F4B36" w:rsidP="008F4B36">
      <w:pPr>
        <w:keepNext/>
        <w:spacing w:after="0" w:line="276" w:lineRule="auto"/>
        <w:rPr>
          <w:b/>
          <w:bCs/>
          <w:u w:val="single"/>
          <w:lang w:val="en-US"/>
        </w:rPr>
      </w:pPr>
      <w:r w:rsidRPr="008F4B36">
        <w:rPr>
          <w:b/>
          <w:bCs/>
          <w:u w:val="single"/>
          <w:lang w:val="en-US"/>
        </w:rPr>
        <w:t>OTA out-of-band blocking</w:t>
      </w:r>
    </w:p>
    <w:p w14:paraId="77D1F2F3" w14:textId="4C624DA9" w:rsidR="00535D2B" w:rsidRDefault="00535D2B" w:rsidP="00E32CD3">
      <w:pPr>
        <w:rPr>
          <w:b/>
          <w:bCs/>
          <w:u w:val="single"/>
        </w:rPr>
      </w:pPr>
    </w:p>
    <w:p w14:paraId="724A301F" w14:textId="05331D12" w:rsidR="00535D2B" w:rsidRDefault="00535D2B" w:rsidP="00E32CD3">
      <w:r>
        <w:t xml:space="preserve">Currently no out-of-band blocking requirement has been specified for UEs. IAB-MT is expected to be co-located with the IAB-DU, i.e. under similar exposure to other systems as the </w:t>
      </w:r>
      <w:proofErr w:type="spellStart"/>
      <w:r w:rsidR="00E6659E">
        <w:t>gNB</w:t>
      </w:r>
      <w:proofErr w:type="spellEnd"/>
      <w:r w:rsidR="00E6659E">
        <w:t xml:space="preserve"> part of the IAB-Node. Therefore, it </w:t>
      </w:r>
      <w:proofErr w:type="gramStart"/>
      <w:r w:rsidR="00E6659E">
        <w:t>seem</w:t>
      </w:r>
      <w:proofErr w:type="gramEnd"/>
      <w:r w:rsidR="00E6659E">
        <w:t xml:space="preserve"> justified to apply similar requirement for IAB-MT. However, further considerations are needed in the performance part of the work to agree the conditions when the requirement is necessary to be verified independently for IAB-MT and IAB-DU.</w:t>
      </w:r>
    </w:p>
    <w:p w14:paraId="1E7DDB56" w14:textId="7F9B68C1" w:rsidR="00A268DB" w:rsidRDefault="00A268DB" w:rsidP="00A268DB">
      <w:pPr>
        <w:rPr>
          <w:b/>
          <w:bCs/>
        </w:rPr>
      </w:pPr>
      <w:r>
        <w:rPr>
          <w:b/>
          <w:bCs/>
        </w:rPr>
        <w:t xml:space="preserve">Proposal </w:t>
      </w:r>
      <w:r w:rsidR="00105DAB">
        <w:rPr>
          <w:b/>
          <w:bCs/>
        </w:rPr>
        <w:t>6</w:t>
      </w:r>
      <w:r>
        <w:rPr>
          <w:b/>
          <w:bCs/>
        </w:rPr>
        <w:t>: Re-use BS OOB blocking requirements, including the in-band and out-of-band boundary, for IAB-MT. It is necessary to agree conditions when it is required to verify the requirement independently for IAB-MT and IAB-DU in the performance part of the WI.</w:t>
      </w:r>
    </w:p>
    <w:p w14:paraId="00183BF8" w14:textId="77777777" w:rsidR="00E6659E" w:rsidRPr="00A268DB" w:rsidRDefault="00E6659E" w:rsidP="00E32CD3">
      <w:pPr>
        <w:rPr>
          <w:b/>
          <w:bCs/>
          <w:u w:val="single"/>
        </w:rPr>
      </w:pPr>
    </w:p>
    <w:p w14:paraId="197700A2" w14:textId="7065386A" w:rsidR="008F4B36" w:rsidRDefault="008F4B36" w:rsidP="00E32CD3">
      <w:pPr>
        <w:rPr>
          <w:b/>
          <w:bCs/>
          <w:u w:val="single"/>
          <w:lang w:val="en-US"/>
        </w:rPr>
      </w:pPr>
      <w:r w:rsidRPr="008F4B36">
        <w:rPr>
          <w:b/>
          <w:bCs/>
          <w:u w:val="single"/>
          <w:lang w:val="en-US"/>
        </w:rPr>
        <w:t>OTA receiver intermodulation</w:t>
      </w:r>
    </w:p>
    <w:p w14:paraId="76322461" w14:textId="656E1A61" w:rsidR="008F4B36" w:rsidRDefault="00E6659E" w:rsidP="00E32CD3">
      <w:pPr>
        <w:rPr>
          <w:lang w:val="en-US"/>
        </w:rPr>
      </w:pPr>
      <w:r>
        <w:rPr>
          <w:lang w:val="en-US"/>
        </w:rPr>
        <w:t xml:space="preserve">OTA receiver intermodulation requirements are currently defined for base station but not for UEs. </w:t>
      </w:r>
      <w:proofErr w:type="gramStart"/>
      <w:r>
        <w:rPr>
          <w:lang w:val="en-US"/>
        </w:rPr>
        <w:t>Similar to</w:t>
      </w:r>
      <w:proofErr w:type="gramEnd"/>
      <w:r>
        <w:rPr>
          <w:lang w:val="en-US"/>
        </w:rPr>
        <w:t xml:space="preserve"> in-band blocking, receiver intermodulation test stresses the receiver linearity</w:t>
      </w:r>
      <w:r w:rsidR="002D6DAB">
        <w:rPr>
          <w:lang w:val="en-US"/>
        </w:rPr>
        <w:t>. The difference is that in in-band blocking the interfering signal is a single wideband signal whereas in receiver intermodulation test there is one narrowband and one wideband signal. In current BS requirements the signal levels for receiver intermodulation test are clearly lower than in in-band blocking test.</w:t>
      </w:r>
    </w:p>
    <w:p w14:paraId="4BF6DA49" w14:textId="0A2DAA35" w:rsidR="002D6DAB" w:rsidRDefault="002D6DAB" w:rsidP="00E32CD3">
      <w:pPr>
        <w:rPr>
          <w:lang w:val="en-US"/>
        </w:rPr>
      </w:pPr>
      <w:r>
        <w:rPr>
          <w:lang w:val="en-US"/>
        </w:rPr>
        <w:t xml:space="preserve">Given the discrepancy in the in-band blocking and receiver intermodulation interferer signal levels, and in addition the baseline operation of IAB-MT to be receiving during DL timeslot where BS transmissions take place the presence of wideband signals is much higher than it is for BS receiver. </w:t>
      </w:r>
      <w:proofErr w:type="gramStart"/>
      <w:r>
        <w:rPr>
          <w:lang w:val="en-US"/>
        </w:rPr>
        <w:t>Therefore</w:t>
      </w:r>
      <w:proofErr w:type="gramEnd"/>
      <w:r>
        <w:rPr>
          <w:lang w:val="en-US"/>
        </w:rPr>
        <w:t xml:space="preserve"> we do not see necessary to specify receiver intermodulation requirements for IAB-MT.</w:t>
      </w:r>
    </w:p>
    <w:p w14:paraId="14E77784" w14:textId="3625A4D0" w:rsidR="002D6DAB" w:rsidRPr="002D6DAB" w:rsidRDefault="002D6DAB" w:rsidP="00E32CD3">
      <w:pPr>
        <w:rPr>
          <w:b/>
          <w:bCs/>
          <w:lang w:val="en-US"/>
        </w:rPr>
      </w:pPr>
      <w:r w:rsidRPr="002D6DAB">
        <w:rPr>
          <w:b/>
          <w:bCs/>
          <w:lang w:val="en-US"/>
        </w:rPr>
        <w:t xml:space="preserve">Proposal </w:t>
      </w:r>
      <w:r w:rsidR="00105DAB">
        <w:rPr>
          <w:b/>
          <w:bCs/>
          <w:lang w:val="en-US"/>
        </w:rPr>
        <w:t>7</w:t>
      </w:r>
      <w:r w:rsidRPr="002D6DAB">
        <w:rPr>
          <w:b/>
          <w:bCs/>
          <w:lang w:val="en-US"/>
        </w:rPr>
        <w:t>: OTA receiver intermodulation requirements shall not be specified for IAB-MT</w:t>
      </w:r>
    </w:p>
    <w:p w14:paraId="2056A460" w14:textId="77777777" w:rsidR="00E6659E" w:rsidRDefault="00E6659E" w:rsidP="00E32CD3">
      <w:pPr>
        <w:rPr>
          <w:b/>
          <w:bCs/>
          <w:u w:val="single"/>
          <w:lang w:val="en-US"/>
        </w:rPr>
      </w:pPr>
    </w:p>
    <w:p w14:paraId="0298C114" w14:textId="77777777" w:rsidR="008F4B36" w:rsidRPr="008F4B36" w:rsidRDefault="008F4B36" w:rsidP="008F4B36">
      <w:pPr>
        <w:keepNext/>
        <w:spacing w:after="0" w:line="276" w:lineRule="auto"/>
        <w:rPr>
          <w:b/>
          <w:bCs/>
          <w:u w:val="single"/>
          <w:lang w:val="en-US"/>
        </w:rPr>
      </w:pPr>
      <w:r w:rsidRPr="008F4B36">
        <w:rPr>
          <w:b/>
          <w:bCs/>
          <w:u w:val="single"/>
          <w:lang w:val="en-US"/>
        </w:rPr>
        <w:t>OTA in-channel selectivity</w:t>
      </w:r>
    </w:p>
    <w:p w14:paraId="3672A04D" w14:textId="36ECA7E1" w:rsidR="008F4B36" w:rsidRDefault="008F4B36" w:rsidP="00E32CD3">
      <w:pPr>
        <w:rPr>
          <w:b/>
          <w:bCs/>
          <w:u w:val="single"/>
        </w:rPr>
      </w:pPr>
    </w:p>
    <w:p w14:paraId="06682293" w14:textId="77777777" w:rsidR="00D928AA" w:rsidRDefault="003F4BBA" w:rsidP="00E32CD3">
      <w:r w:rsidRPr="003F4BBA">
        <w:t>Current</w:t>
      </w:r>
      <w:r>
        <w:t xml:space="preserve">ly in-channel selectivity requirements have not been specified for UEs, but they exist for BS. In-channel selectivity tests the receiver capability to receive a signal while there is an interferer signal present at adjacent resource blocks. IAB WID says that RF requirements shall consider forward compatibility. We see that FDM operation is one potential future case where two signals could be present at adjacent resource blocks. On the other hand, it is unclear </w:t>
      </w:r>
      <w:proofErr w:type="gramStart"/>
      <w:r>
        <w:t>at the moment</w:t>
      </w:r>
      <w:proofErr w:type="gramEnd"/>
      <w:r>
        <w:t xml:space="preserve"> whether FDM operation is aimed more towards FR1 or FR2. Therefore, we see that further discussion within the group is needed to decide whether in-channel selectivity requirements are needed in FR2 in release 16.</w:t>
      </w:r>
    </w:p>
    <w:p w14:paraId="2FF134A3" w14:textId="2B8B40D3" w:rsidR="00E6659E" w:rsidRPr="00D928AA" w:rsidRDefault="00D928AA" w:rsidP="00E32CD3">
      <w:pPr>
        <w:rPr>
          <w:b/>
          <w:bCs/>
        </w:rPr>
      </w:pPr>
      <w:r w:rsidRPr="00D928AA">
        <w:rPr>
          <w:b/>
          <w:bCs/>
        </w:rPr>
        <w:lastRenderedPageBreak/>
        <w:t xml:space="preserve">Proposal </w:t>
      </w:r>
      <w:r w:rsidR="00105DAB">
        <w:rPr>
          <w:b/>
          <w:bCs/>
        </w:rPr>
        <w:t>8</w:t>
      </w:r>
      <w:r>
        <w:rPr>
          <w:b/>
          <w:bCs/>
        </w:rPr>
        <w:t>: Given the target of forward compatible RF requirements and FDM operation being targeted in rel-17, discuss further whether in-channel selectivity requirements are needed for IAB-MT in FR2 in release 16.</w:t>
      </w:r>
    </w:p>
    <w:p w14:paraId="52782008" w14:textId="77777777" w:rsidR="00F32200" w:rsidRDefault="00F32200" w:rsidP="00F32200">
      <w:pPr>
        <w:pStyle w:val="Heading1"/>
      </w:pPr>
      <w:r>
        <w:t>3</w:t>
      </w:r>
      <w:r>
        <w:tab/>
        <w:t>Conclusion</w:t>
      </w:r>
    </w:p>
    <w:p w14:paraId="684B36C8" w14:textId="1765932E" w:rsidR="0073601D" w:rsidRDefault="0056035D" w:rsidP="005A070B">
      <w:r>
        <w:t xml:space="preserve">In this contribution </w:t>
      </w:r>
      <w:r w:rsidR="0073601D">
        <w:t xml:space="preserve">IAB-Node </w:t>
      </w:r>
      <w:r w:rsidR="00535D2B">
        <w:t>receiver requirements in FR2 were discussed and following proposals were made.</w:t>
      </w:r>
    </w:p>
    <w:p w14:paraId="10C7E95B" w14:textId="77777777" w:rsidR="00D928AA" w:rsidRPr="003C755F" w:rsidRDefault="00D928AA" w:rsidP="00D928AA">
      <w:pPr>
        <w:rPr>
          <w:b/>
          <w:bCs/>
        </w:rPr>
      </w:pPr>
      <w:r w:rsidRPr="003C755F">
        <w:rPr>
          <w:b/>
          <w:bCs/>
        </w:rPr>
        <w:t xml:space="preserve">Proposal 1: Re-use BS </w:t>
      </w:r>
      <w:r>
        <w:rPr>
          <w:b/>
          <w:bCs/>
        </w:rPr>
        <w:t xml:space="preserve">type 2-O </w:t>
      </w:r>
      <w:r w:rsidRPr="003C755F">
        <w:rPr>
          <w:b/>
          <w:bCs/>
        </w:rPr>
        <w:t xml:space="preserve">receiver requirements for IAB-DU for all </w:t>
      </w:r>
      <w:r>
        <w:rPr>
          <w:b/>
          <w:bCs/>
        </w:rPr>
        <w:t xml:space="preserve">receiver </w:t>
      </w:r>
      <w:r w:rsidRPr="003C755F">
        <w:rPr>
          <w:b/>
          <w:bCs/>
        </w:rPr>
        <w:t>requirements in FR2</w:t>
      </w:r>
      <w:r>
        <w:rPr>
          <w:b/>
          <w:bCs/>
        </w:rPr>
        <w:t>.</w:t>
      </w:r>
    </w:p>
    <w:p w14:paraId="6D0D8D81" w14:textId="77777777" w:rsidR="00D928AA" w:rsidRDefault="00D928AA" w:rsidP="00D928AA">
      <w:pPr>
        <w:rPr>
          <w:b/>
          <w:bCs/>
          <w:lang w:val="en-US"/>
        </w:rPr>
      </w:pPr>
      <w:r w:rsidRPr="003C5295">
        <w:rPr>
          <w:b/>
          <w:bCs/>
          <w:lang w:val="en-US"/>
        </w:rPr>
        <w:t xml:space="preserve">Proposal </w:t>
      </w:r>
      <w:r>
        <w:rPr>
          <w:b/>
          <w:bCs/>
          <w:lang w:val="en-US"/>
        </w:rPr>
        <w:t>2</w:t>
      </w:r>
      <w:r w:rsidRPr="003C5295">
        <w:rPr>
          <w:b/>
          <w:bCs/>
          <w:lang w:val="en-US"/>
        </w:rPr>
        <w:t>:</w:t>
      </w:r>
      <w:r>
        <w:rPr>
          <w:b/>
          <w:bCs/>
          <w:lang w:val="en-US"/>
        </w:rPr>
        <w:t xml:space="preserve"> </w:t>
      </w:r>
      <w:proofErr w:type="gramStart"/>
      <w:r>
        <w:rPr>
          <w:b/>
          <w:bCs/>
          <w:lang w:val="en-US"/>
        </w:rPr>
        <w:t>Similarly</w:t>
      </w:r>
      <w:proofErr w:type="gramEnd"/>
      <w:r>
        <w:rPr>
          <w:b/>
          <w:bCs/>
          <w:lang w:val="en-US"/>
        </w:rPr>
        <w:t xml:space="preserve"> as BS, IAB-MT shall declare its reference sensitivity</w:t>
      </w:r>
    </w:p>
    <w:p w14:paraId="3BFA81A1" w14:textId="005B1D9D" w:rsidR="00D928AA" w:rsidRDefault="00D928AA" w:rsidP="00D928AA">
      <w:pPr>
        <w:rPr>
          <w:b/>
          <w:bCs/>
          <w:lang w:val="en-US"/>
        </w:rPr>
      </w:pPr>
      <w:r>
        <w:rPr>
          <w:b/>
          <w:bCs/>
          <w:lang w:val="en-US"/>
        </w:rPr>
        <w:t>Proposal 3: The range of allowed reference sensitivity declarations shall cover at least the range from lowest allowed power from wide area BS type 2-O to highest power allowed for local area BS type 2-O.</w:t>
      </w:r>
    </w:p>
    <w:p w14:paraId="428BC4B6" w14:textId="7A774C4F" w:rsidR="00105DAB" w:rsidRDefault="00105DAB" w:rsidP="00D928AA">
      <w:pPr>
        <w:rPr>
          <w:b/>
          <w:bCs/>
          <w:lang w:val="en-US"/>
        </w:rPr>
      </w:pPr>
      <w:r>
        <w:rPr>
          <w:b/>
          <w:bCs/>
          <w:lang w:val="en-US"/>
        </w:rPr>
        <w:t>Proposal 4: IAB-MT and IAB-DU reference sensitivity declarations shall be independent of each other.</w:t>
      </w:r>
    </w:p>
    <w:p w14:paraId="00ABCA88" w14:textId="075B7722" w:rsidR="00D928AA" w:rsidRDefault="00D928AA" w:rsidP="00D928AA">
      <w:pPr>
        <w:rPr>
          <w:b/>
          <w:bCs/>
          <w:lang w:val="en-US"/>
        </w:rPr>
      </w:pPr>
      <w:r w:rsidRPr="003C5295">
        <w:rPr>
          <w:b/>
          <w:bCs/>
          <w:lang w:val="en-US"/>
        </w:rPr>
        <w:t xml:space="preserve">Proposal </w:t>
      </w:r>
      <w:r w:rsidR="00105DAB">
        <w:rPr>
          <w:b/>
          <w:bCs/>
          <w:lang w:val="en-US"/>
        </w:rPr>
        <w:t>5</w:t>
      </w:r>
      <w:r w:rsidRPr="003C5295">
        <w:rPr>
          <w:b/>
          <w:bCs/>
          <w:lang w:val="en-US"/>
        </w:rPr>
        <w:t xml:space="preserve">: </w:t>
      </w:r>
      <w:r>
        <w:rPr>
          <w:b/>
          <w:bCs/>
          <w:lang w:val="en-US"/>
        </w:rPr>
        <w:t xml:space="preserve">ACS for IAB-MT shall be </w:t>
      </w:r>
    </w:p>
    <w:p w14:paraId="59856BCB" w14:textId="77777777" w:rsidR="00D928AA" w:rsidRDefault="00D928AA" w:rsidP="00D928AA">
      <w:pPr>
        <w:pStyle w:val="ListParagraph"/>
        <w:numPr>
          <w:ilvl w:val="0"/>
          <w:numId w:val="16"/>
        </w:numPr>
        <w:rPr>
          <w:b/>
          <w:bCs/>
          <w:lang w:val="en-US"/>
        </w:rPr>
      </w:pPr>
      <w:r w:rsidRPr="003C5295">
        <w:rPr>
          <w:b/>
          <w:bCs/>
          <w:lang w:val="en-US"/>
        </w:rPr>
        <w:t xml:space="preserve">23.5 dB for frequencies 24.25 – 29.5 GHz and </w:t>
      </w:r>
    </w:p>
    <w:p w14:paraId="6E8520EA" w14:textId="77777777" w:rsidR="00D928AA" w:rsidRPr="003C5295" w:rsidRDefault="00D928AA" w:rsidP="00D928AA">
      <w:pPr>
        <w:pStyle w:val="ListParagraph"/>
        <w:numPr>
          <w:ilvl w:val="0"/>
          <w:numId w:val="16"/>
        </w:numPr>
        <w:rPr>
          <w:b/>
          <w:bCs/>
          <w:lang w:val="en-US"/>
        </w:rPr>
      </w:pPr>
      <w:r>
        <w:rPr>
          <w:b/>
          <w:bCs/>
          <w:lang w:val="en-US"/>
        </w:rPr>
        <w:t xml:space="preserve">22.5 </w:t>
      </w:r>
      <w:r w:rsidRPr="003C5295">
        <w:rPr>
          <w:b/>
          <w:bCs/>
          <w:lang w:val="en-US"/>
        </w:rPr>
        <w:t xml:space="preserve">dB for frequencies </w:t>
      </w:r>
      <w:r>
        <w:rPr>
          <w:b/>
          <w:bCs/>
          <w:lang w:val="en-US"/>
        </w:rPr>
        <w:t>37</w:t>
      </w:r>
      <w:r w:rsidRPr="003C5295">
        <w:rPr>
          <w:b/>
          <w:bCs/>
          <w:lang w:val="en-US"/>
        </w:rPr>
        <w:t xml:space="preserve"> – </w:t>
      </w:r>
      <w:r>
        <w:rPr>
          <w:b/>
          <w:bCs/>
          <w:lang w:val="en-US"/>
        </w:rPr>
        <w:t>40</w:t>
      </w:r>
      <w:r w:rsidRPr="003C5295">
        <w:rPr>
          <w:b/>
          <w:bCs/>
          <w:lang w:val="en-US"/>
        </w:rPr>
        <w:t xml:space="preserve"> GHz </w:t>
      </w:r>
    </w:p>
    <w:p w14:paraId="12CA5135" w14:textId="2B6DE4D2" w:rsidR="00A268DB" w:rsidRPr="00A268DB" w:rsidRDefault="00A268DB" w:rsidP="00A268DB">
      <w:pPr>
        <w:rPr>
          <w:b/>
          <w:bCs/>
        </w:rPr>
      </w:pPr>
      <w:r w:rsidRPr="00A268DB">
        <w:rPr>
          <w:b/>
          <w:bCs/>
        </w:rPr>
        <w:t xml:space="preserve">Proposal </w:t>
      </w:r>
      <w:r w:rsidR="00105DAB">
        <w:rPr>
          <w:b/>
          <w:bCs/>
        </w:rPr>
        <w:t>6</w:t>
      </w:r>
      <w:r w:rsidRPr="00A268DB">
        <w:rPr>
          <w:b/>
          <w:bCs/>
        </w:rPr>
        <w:t>: Re-use BS OOB blocking requirements, including the in-band and out-of-band boundary, for IAB-MT. It is necessary to agree conditions when it is required to verify the requirement independently for IAB-MT and IAB-DU in the performance part of the WI.</w:t>
      </w:r>
    </w:p>
    <w:p w14:paraId="7E451B06" w14:textId="5FC0AD89" w:rsidR="00D928AA" w:rsidRPr="002D6DAB" w:rsidRDefault="00D928AA" w:rsidP="00D928AA">
      <w:pPr>
        <w:rPr>
          <w:b/>
          <w:bCs/>
          <w:lang w:val="en-US"/>
        </w:rPr>
      </w:pPr>
      <w:r w:rsidRPr="002D6DAB">
        <w:rPr>
          <w:b/>
          <w:bCs/>
          <w:lang w:val="en-US"/>
        </w:rPr>
        <w:t xml:space="preserve">Proposal </w:t>
      </w:r>
      <w:r w:rsidR="00105DAB">
        <w:rPr>
          <w:b/>
          <w:bCs/>
          <w:lang w:val="en-US"/>
        </w:rPr>
        <w:t>7</w:t>
      </w:r>
      <w:r w:rsidRPr="002D6DAB">
        <w:rPr>
          <w:b/>
          <w:bCs/>
          <w:lang w:val="en-US"/>
        </w:rPr>
        <w:t>: OTA receiver intermodulation requirements shall not be specified for IAB-MT</w:t>
      </w:r>
    </w:p>
    <w:p w14:paraId="2ECBFC6A" w14:textId="6FD5B45C" w:rsidR="00535D2B" w:rsidRPr="00D928AA" w:rsidRDefault="00D928AA" w:rsidP="005A070B">
      <w:pPr>
        <w:rPr>
          <w:b/>
          <w:bCs/>
        </w:rPr>
      </w:pPr>
      <w:r w:rsidRPr="00D928AA">
        <w:rPr>
          <w:b/>
          <w:bCs/>
        </w:rPr>
        <w:t xml:space="preserve">Proposal </w:t>
      </w:r>
      <w:r w:rsidR="00105DAB">
        <w:rPr>
          <w:b/>
          <w:bCs/>
        </w:rPr>
        <w:t>8</w:t>
      </w:r>
      <w:r>
        <w:rPr>
          <w:b/>
          <w:bCs/>
        </w:rPr>
        <w:t>: Given the target of forward compatible RF requirements and FDM operation being targeted in rel-17, discuss further whether in-channel selectivity requirements are needed for IAB-MT in FR2 in release 16.</w:t>
      </w:r>
    </w:p>
    <w:p w14:paraId="55B204E9" w14:textId="77777777" w:rsidR="0057669F" w:rsidRDefault="0057669F" w:rsidP="0057669F">
      <w:pPr>
        <w:pStyle w:val="Heading1"/>
      </w:pPr>
      <w:r>
        <w:t>4</w:t>
      </w:r>
      <w:r>
        <w:tab/>
        <w:t>Reference</w:t>
      </w:r>
      <w:r w:rsidR="0035582C">
        <w:t>s</w:t>
      </w:r>
    </w:p>
    <w:p w14:paraId="1809FABE" w14:textId="27FCA9A6" w:rsidR="00F47649" w:rsidRPr="00844329" w:rsidRDefault="00F47649" w:rsidP="006C16B3">
      <w:pPr>
        <w:ind w:left="567" w:hanging="567"/>
        <w:rPr>
          <w:sz w:val="22"/>
          <w:szCs w:val="22"/>
          <w:lang w:val="en-US"/>
        </w:rPr>
      </w:pPr>
      <w:r w:rsidRPr="00844329">
        <w:rPr>
          <w:sz w:val="22"/>
          <w:szCs w:val="22"/>
          <w:lang w:val="en-US"/>
        </w:rPr>
        <w:t>[</w:t>
      </w:r>
      <w:r w:rsidR="00363800" w:rsidRPr="00844329">
        <w:rPr>
          <w:sz w:val="22"/>
          <w:szCs w:val="22"/>
          <w:lang w:val="en-US"/>
        </w:rPr>
        <w:t>1</w:t>
      </w:r>
      <w:r w:rsidRPr="00844329">
        <w:rPr>
          <w:sz w:val="22"/>
          <w:szCs w:val="22"/>
          <w:lang w:val="en-US"/>
        </w:rPr>
        <w:t>]</w:t>
      </w:r>
      <w:r w:rsidRPr="00844329">
        <w:rPr>
          <w:sz w:val="22"/>
          <w:szCs w:val="22"/>
          <w:lang w:val="en-US"/>
        </w:rPr>
        <w:tab/>
      </w:r>
      <w:r w:rsidR="005A070B" w:rsidRPr="00844329">
        <w:rPr>
          <w:sz w:val="22"/>
          <w:szCs w:val="22"/>
          <w:lang w:val="en-US"/>
        </w:rPr>
        <w:t>R4-1916161 IAB Ad Hoc Meeting minutes, Qualcomm Incorporated</w:t>
      </w:r>
    </w:p>
    <w:p w14:paraId="09893C7A" w14:textId="7AB69CE6" w:rsidR="001D6F67" w:rsidRPr="00844329" w:rsidRDefault="0006355F" w:rsidP="000450CB">
      <w:pPr>
        <w:ind w:left="567" w:hanging="567"/>
        <w:rPr>
          <w:sz w:val="22"/>
          <w:szCs w:val="22"/>
          <w:lang w:val="en-US"/>
        </w:rPr>
      </w:pPr>
      <w:r w:rsidRPr="00844329">
        <w:rPr>
          <w:sz w:val="22"/>
          <w:szCs w:val="22"/>
          <w:lang w:val="en-US"/>
        </w:rPr>
        <w:t>[2]</w:t>
      </w:r>
      <w:r w:rsidRPr="00844329">
        <w:rPr>
          <w:sz w:val="22"/>
          <w:szCs w:val="22"/>
          <w:lang w:val="en-US"/>
        </w:rPr>
        <w:tab/>
        <w:t>R4-200</w:t>
      </w:r>
      <w:r w:rsidR="0070461D" w:rsidRPr="00844329">
        <w:rPr>
          <w:sz w:val="22"/>
          <w:szCs w:val="22"/>
          <w:lang w:val="en-US"/>
        </w:rPr>
        <w:t>1432</w:t>
      </w:r>
      <w:r w:rsidRPr="00844329">
        <w:rPr>
          <w:sz w:val="22"/>
          <w:szCs w:val="22"/>
          <w:lang w:val="en-US"/>
        </w:rPr>
        <w:t xml:space="preserve"> TP to TR 38.xxx IAB-Node</w:t>
      </w:r>
      <w:bookmarkStart w:id="2" w:name="_GoBack"/>
      <w:bookmarkEnd w:id="2"/>
      <w:r w:rsidRPr="00844329">
        <w:rPr>
          <w:sz w:val="22"/>
          <w:szCs w:val="22"/>
          <w:lang w:val="en-US"/>
        </w:rPr>
        <w:t xml:space="preserve"> blocking, power class and coexistence requirements, Nokia, Nokia Shanghai Bell</w:t>
      </w:r>
    </w:p>
    <w:p w14:paraId="5CE19DDF" w14:textId="77777777" w:rsidR="00115068" w:rsidRPr="00DA21EC" w:rsidRDefault="00115068" w:rsidP="00CF183D">
      <w:pPr>
        <w:rPr>
          <w:color w:val="FF0000"/>
          <w:sz w:val="28"/>
          <w:lang w:val="en-US"/>
        </w:rPr>
      </w:pPr>
    </w:p>
    <w:sectPr w:rsidR="00115068" w:rsidRPr="00DA21EC"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15D0C" w14:textId="77777777" w:rsidR="00922E72" w:rsidRDefault="00922E72" w:rsidP="002B3503">
      <w:pPr>
        <w:spacing w:after="0"/>
      </w:pPr>
      <w:r>
        <w:separator/>
      </w:r>
    </w:p>
  </w:endnote>
  <w:endnote w:type="continuationSeparator" w:id="0">
    <w:p w14:paraId="2025065B" w14:textId="77777777" w:rsidR="00922E72" w:rsidRDefault="00922E7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A31E7" w14:textId="77777777" w:rsidR="00922E72" w:rsidRDefault="00922E72" w:rsidP="002B3503">
      <w:pPr>
        <w:spacing w:after="0"/>
      </w:pPr>
      <w:r>
        <w:separator/>
      </w:r>
    </w:p>
  </w:footnote>
  <w:footnote w:type="continuationSeparator" w:id="0">
    <w:p w14:paraId="5883C38B" w14:textId="77777777" w:rsidR="00922E72" w:rsidRDefault="00922E7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EB87435"/>
    <w:multiLevelType w:val="hybridMultilevel"/>
    <w:tmpl w:val="9F563F46"/>
    <w:lvl w:ilvl="0" w:tplc="8D58F5C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4"/>
  </w:num>
  <w:num w:numId="3">
    <w:abstractNumId w:val="6"/>
  </w:num>
  <w:num w:numId="4">
    <w:abstractNumId w:val="10"/>
  </w:num>
  <w:num w:numId="5">
    <w:abstractNumId w:val="12"/>
  </w:num>
  <w:num w:numId="6">
    <w:abstractNumId w:val="13"/>
  </w:num>
  <w:num w:numId="7">
    <w:abstractNumId w:val="5"/>
  </w:num>
  <w:num w:numId="8">
    <w:abstractNumId w:val="2"/>
  </w:num>
  <w:num w:numId="9">
    <w:abstractNumId w:val="0"/>
  </w:num>
  <w:num w:numId="10">
    <w:abstractNumId w:val="7"/>
  </w:num>
  <w:num w:numId="11">
    <w:abstractNumId w:val="15"/>
  </w:num>
  <w:num w:numId="12">
    <w:abstractNumId w:val="1"/>
  </w:num>
  <w:num w:numId="13">
    <w:abstractNumId w:val="4"/>
  </w:num>
  <w:num w:numId="14">
    <w:abstractNumId w:val="9"/>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F62"/>
    <w:rsid w:val="00017F18"/>
    <w:rsid w:val="000450CB"/>
    <w:rsid w:val="00046F81"/>
    <w:rsid w:val="00051A7D"/>
    <w:rsid w:val="0006355F"/>
    <w:rsid w:val="000832DA"/>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05DAB"/>
    <w:rsid w:val="00113312"/>
    <w:rsid w:val="00115068"/>
    <w:rsid w:val="0013106E"/>
    <w:rsid w:val="00132FF9"/>
    <w:rsid w:val="001364A1"/>
    <w:rsid w:val="0015000E"/>
    <w:rsid w:val="00155F2D"/>
    <w:rsid w:val="0016131F"/>
    <w:rsid w:val="00162795"/>
    <w:rsid w:val="00164A53"/>
    <w:rsid w:val="001779BE"/>
    <w:rsid w:val="0018022D"/>
    <w:rsid w:val="001B180D"/>
    <w:rsid w:val="001B46BB"/>
    <w:rsid w:val="001B494A"/>
    <w:rsid w:val="001C3296"/>
    <w:rsid w:val="001D4627"/>
    <w:rsid w:val="001D6F67"/>
    <w:rsid w:val="001E542E"/>
    <w:rsid w:val="00205BA4"/>
    <w:rsid w:val="00210C9E"/>
    <w:rsid w:val="002127E2"/>
    <w:rsid w:val="00213D17"/>
    <w:rsid w:val="00214C87"/>
    <w:rsid w:val="00215035"/>
    <w:rsid w:val="002202BE"/>
    <w:rsid w:val="00222ADE"/>
    <w:rsid w:val="00230B20"/>
    <w:rsid w:val="0023444F"/>
    <w:rsid w:val="00237779"/>
    <w:rsid w:val="00237803"/>
    <w:rsid w:val="00263B3D"/>
    <w:rsid w:val="002640C9"/>
    <w:rsid w:val="00264D5C"/>
    <w:rsid w:val="00264F78"/>
    <w:rsid w:val="00266B64"/>
    <w:rsid w:val="002725A3"/>
    <w:rsid w:val="00277EE7"/>
    <w:rsid w:val="00285189"/>
    <w:rsid w:val="00285EBA"/>
    <w:rsid w:val="00291DDD"/>
    <w:rsid w:val="002A7181"/>
    <w:rsid w:val="002B3503"/>
    <w:rsid w:val="002B3F6F"/>
    <w:rsid w:val="002C1641"/>
    <w:rsid w:val="002C1C70"/>
    <w:rsid w:val="002D2721"/>
    <w:rsid w:val="002D6A65"/>
    <w:rsid w:val="002D6DAB"/>
    <w:rsid w:val="002F0018"/>
    <w:rsid w:val="002F139F"/>
    <w:rsid w:val="002F6A38"/>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A1BF2"/>
    <w:rsid w:val="003C3016"/>
    <w:rsid w:val="003C5295"/>
    <w:rsid w:val="003C755F"/>
    <w:rsid w:val="003D3111"/>
    <w:rsid w:val="003D5813"/>
    <w:rsid w:val="003E36C3"/>
    <w:rsid w:val="003F0CBC"/>
    <w:rsid w:val="003F1982"/>
    <w:rsid w:val="003F4BBA"/>
    <w:rsid w:val="004035FC"/>
    <w:rsid w:val="00404C40"/>
    <w:rsid w:val="00405E3D"/>
    <w:rsid w:val="00420E2F"/>
    <w:rsid w:val="0042109F"/>
    <w:rsid w:val="00427F57"/>
    <w:rsid w:val="0043450E"/>
    <w:rsid w:val="0045082D"/>
    <w:rsid w:val="004533DE"/>
    <w:rsid w:val="00453BA5"/>
    <w:rsid w:val="00454E53"/>
    <w:rsid w:val="004754A1"/>
    <w:rsid w:val="00482477"/>
    <w:rsid w:val="00482BAF"/>
    <w:rsid w:val="00484762"/>
    <w:rsid w:val="00491386"/>
    <w:rsid w:val="00494F18"/>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5D2B"/>
    <w:rsid w:val="00537362"/>
    <w:rsid w:val="00541E71"/>
    <w:rsid w:val="00542EA4"/>
    <w:rsid w:val="00544A0E"/>
    <w:rsid w:val="00544EA7"/>
    <w:rsid w:val="005472C5"/>
    <w:rsid w:val="00551BD8"/>
    <w:rsid w:val="0056035D"/>
    <w:rsid w:val="00560A63"/>
    <w:rsid w:val="00561673"/>
    <w:rsid w:val="00564B2E"/>
    <w:rsid w:val="00566191"/>
    <w:rsid w:val="00570B14"/>
    <w:rsid w:val="0057669F"/>
    <w:rsid w:val="005A070B"/>
    <w:rsid w:val="005A08FD"/>
    <w:rsid w:val="005A3D67"/>
    <w:rsid w:val="005B1019"/>
    <w:rsid w:val="005B2640"/>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3E30"/>
    <w:rsid w:val="00666120"/>
    <w:rsid w:val="00673969"/>
    <w:rsid w:val="006750A5"/>
    <w:rsid w:val="00680997"/>
    <w:rsid w:val="00692D32"/>
    <w:rsid w:val="00695026"/>
    <w:rsid w:val="006A21E1"/>
    <w:rsid w:val="006A6876"/>
    <w:rsid w:val="006B720B"/>
    <w:rsid w:val="006C16B3"/>
    <w:rsid w:val="006C6840"/>
    <w:rsid w:val="006C7482"/>
    <w:rsid w:val="006E3462"/>
    <w:rsid w:val="006F1B82"/>
    <w:rsid w:val="006F651D"/>
    <w:rsid w:val="006F6B0D"/>
    <w:rsid w:val="00701131"/>
    <w:rsid w:val="0070461D"/>
    <w:rsid w:val="0070573A"/>
    <w:rsid w:val="00710301"/>
    <w:rsid w:val="007120DD"/>
    <w:rsid w:val="00720AFB"/>
    <w:rsid w:val="00721417"/>
    <w:rsid w:val="00722ED4"/>
    <w:rsid w:val="00724CD9"/>
    <w:rsid w:val="00726265"/>
    <w:rsid w:val="00734EBD"/>
    <w:rsid w:val="0073601D"/>
    <w:rsid w:val="00742892"/>
    <w:rsid w:val="00747246"/>
    <w:rsid w:val="00753982"/>
    <w:rsid w:val="00763E62"/>
    <w:rsid w:val="00770296"/>
    <w:rsid w:val="00782875"/>
    <w:rsid w:val="007A09DC"/>
    <w:rsid w:val="007A12F4"/>
    <w:rsid w:val="007A23DA"/>
    <w:rsid w:val="007C0429"/>
    <w:rsid w:val="007C34CA"/>
    <w:rsid w:val="007D20DF"/>
    <w:rsid w:val="007E79BE"/>
    <w:rsid w:val="007F7547"/>
    <w:rsid w:val="00801CCB"/>
    <w:rsid w:val="0081749A"/>
    <w:rsid w:val="008236E4"/>
    <w:rsid w:val="0084176E"/>
    <w:rsid w:val="00844329"/>
    <w:rsid w:val="00845E2E"/>
    <w:rsid w:val="00847F20"/>
    <w:rsid w:val="00850296"/>
    <w:rsid w:val="00853EC3"/>
    <w:rsid w:val="00866BF1"/>
    <w:rsid w:val="00870635"/>
    <w:rsid w:val="00874DB0"/>
    <w:rsid w:val="008771F4"/>
    <w:rsid w:val="008911BD"/>
    <w:rsid w:val="008922F9"/>
    <w:rsid w:val="00895ABC"/>
    <w:rsid w:val="0089736D"/>
    <w:rsid w:val="008A43C6"/>
    <w:rsid w:val="008A4493"/>
    <w:rsid w:val="008A5AE8"/>
    <w:rsid w:val="008B5F74"/>
    <w:rsid w:val="008D39F0"/>
    <w:rsid w:val="008D6E47"/>
    <w:rsid w:val="008F311C"/>
    <w:rsid w:val="008F463D"/>
    <w:rsid w:val="008F4B36"/>
    <w:rsid w:val="008F530E"/>
    <w:rsid w:val="008F7F07"/>
    <w:rsid w:val="009050E8"/>
    <w:rsid w:val="00906259"/>
    <w:rsid w:val="0091383D"/>
    <w:rsid w:val="00922E72"/>
    <w:rsid w:val="00932D74"/>
    <w:rsid w:val="009351C4"/>
    <w:rsid w:val="00937974"/>
    <w:rsid w:val="00940559"/>
    <w:rsid w:val="00943634"/>
    <w:rsid w:val="0096038C"/>
    <w:rsid w:val="009662F1"/>
    <w:rsid w:val="009674D4"/>
    <w:rsid w:val="00977A17"/>
    <w:rsid w:val="00982464"/>
    <w:rsid w:val="00983C8F"/>
    <w:rsid w:val="0098619A"/>
    <w:rsid w:val="0099357A"/>
    <w:rsid w:val="00996062"/>
    <w:rsid w:val="009A3979"/>
    <w:rsid w:val="009A6A8B"/>
    <w:rsid w:val="009A70AA"/>
    <w:rsid w:val="009B1E68"/>
    <w:rsid w:val="009B7379"/>
    <w:rsid w:val="009E3B23"/>
    <w:rsid w:val="00A067D5"/>
    <w:rsid w:val="00A10A2C"/>
    <w:rsid w:val="00A10B1E"/>
    <w:rsid w:val="00A14642"/>
    <w:rsid w:val="00A15DC7"/>
    <w:rsid w:val="00A15FBF"/>
    <w:rsid w:val="00A2395F"/>
    <w:rsid w:val="00A268DB"/>
    <w:rsid w:val="00A30758"/>
    <w:rsid w:val="00A30C91"/>
    <w:rsid w:val="00A35998"/>
    <w:rsid w:val="00A451E8"/>
    <w:rsid w:val="00A466BF"/>
    <w:rsid w:val="00A47C8B"/>
    <w:rsid w:val="00A508FF"/>
    <w:rsid w:val="00A52A3B"/>
    <w:rsid w:val="00A52B69"/>
    <w:rsid w:val="00A6018C"/>
    <w:rsid w:val="00A64564"/>
    <w:rsid w:val="00A64DE7"/>
    <w:rsid w:val="00A708BD"/>
    <w:rsid w:val="00A8390A"/>
    <w:rsid w:val="00A96A12"/>
    <w:rsid w:val="00A97C2D"/>
    <w:rsid w:val="00AA1DB1"/>
    <w:rsid w:val="00AB5402"/>
    <w:rsid w:val="00AC6D7C"/>
    <w:rsid w:val="00AD0C29"/>
    <w:rsid w:val="00AD15D4"/>
    <w:rsid w:val="00AD71AD"/>
    <w:rsid w:val="00AE6327"/>
    <w:rsid w:val="00AF14A0"/>
    <w:rsid w:val="00B1541B"/>
    <w:rsid w:val="00B172CC"/>
    <w:rsid w:val="00B31BAE"/>
    <w:rsid w:val="00B4385F"/>
    <w:rsid w:val="00B638DE"/>
    <w:rsid w:val="00B6504C"/>
    <w:rsid w:val="00B65B59"/>
    <w:rsid w:val="00BA3DB3"/>
    <w:rsid w:val="00BC764C"/>
    <w:rsid w:val="00BD0FF7"/>
    <w:rsid w:val="00BD3170"/>
    <w:rsid w:val="00BE140C"/>
    <w:rsid w:val="00BE1BA0"/>
    <w:rsid w:val="00BE5FB6"/>
    <w:rsid w:val="00BF4B17"/>
    <w:rsid w:val="00C14230"/>
    <w:rsid w:val="00C21554"/>
    <w:rsid w:val="00C24C90"/>
    <w:rsid w:val="00C24D31"/>
    <w:rsid w:val="00C33434"/>
    <w:rsid w:val="00C55B96"/>
    <w:rsid w:val="00C57BDA"/>
    <w:rsid w:val="00C6627F"/>
    <w:rsid w:val="00C80451"/>
    <w:rsid w:val="00C944DE"/>
    <w:rsid w:val="00CA5455"/>
    <w:rsid w:val="00CB1708"/>
    <w:rsid w:val="00CB69B3"/>
    <w:rsid w:val="00CB7240"/>
    <w:rsid w:val="00CB768E"/>
    <w:rsid w:val="00CC3529"/>
    <w:rsid w:val="00CD4FAF"/>
    <w:rsid w:val="00CE6171"/>
    <w:rsid w:val="00CF183D"/>
    <w:rsid w:val="00CF249F"/>
    <w:rsid w:val="00CF4657"/>
    <w:rsid w:val="00D16EA7"/>
    <w:rsid w:val="00D23C06"/>
    <w:rsid w:val="00D26459"/>
    <w:rsid w:val="00D275CC"/>
    <w:rsid w:val="00D309FF"/>
    <w:rsid w:val="00D355D3"/>
    <w:rsid w:val="00D54EAA"/>
    <w:rsid w:val="00D5669A"/>
    <w:rsid w:val="00D60812"/>
    <w:rsid w:val="00D62DCA"/>
    <w:rsid w:val="00D767C4"/>
    <w:rsid w:val="00D77CF5"/>
    <w:rsid w:val="00D81CF3"/>
    <w:rsid w:val="00D83D0F"/>
    <w:rsid w:val="00D848CC"/>
    <w:rsid w:val="00D8686A"/>
    <w:rsid w:val="00D86BF8"/>
    <w:rsid w:val="00D903D5"/>
    <w:rsid w:val="00D928AA"/>
    <w:rsid w:val="00D944B1"/>
    <w:rsid w:val="00D95179"/>
    <w:rsid w:val="00DA21EC"/>
    <w:rsid w:val="00DB3EC2"/>
    <w:rsid w:val="00DB5AD3"/>
    <w:rsid w:val="00DB78B8"/>
    <w:rsid w:val="00DC7584"/>
    <w:rsid w:val="00DD43B9"/>
    <w:rsid w:val="00DD6BAA"/>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46CA7"/>
    <w:rsid w:val="00E56A42"/>
    <w:rsid w:val="00E62063"/>
    <w:rsid w:val="00E62B4E"/>
    <w:rsid w:val="00E6659E"/>
    <w:rsid w:val="00E86F21"/>
    <w:rsid w:val="00E90BCB"/>
    <w:rsid w:val="00E962C5"/>
    <w:rsid w:val="00EA3488"/>
    <w:rsid w:val="00EB5F7D"/>
    <w:rsid w:val="00EC589F"/>
    <w:rsid w:val="00EF103D"/>
    <w:rsid w:val="00EF4045"/>
    <w:rsid w:val="00EF6304"/>
    <w:rsid w:val="00F03666"/>
    <w:rsid w:val="00F173C9"/>
    <w:rsid w:val="00F26C2D"/>
    <w:rsid w:val="00F32200"/>
    <w:rsid w:val="00F374CF"/>
    <w:rsid w:val="00F40AF9"/>
    <w:rsid w:val="00F47649"/>
    <w:rsid w:val="00F51367"/>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0C79B409-EF8B-4CEC-977D-534A82A6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08342319">
      <w:bodyDiv w:val="1"/>
      <w:marLeft w:val="0"/>
      <w:marRight w:val="0"/>
      <w:marTop w:val="0"/>
      <w:marBottom w:val="0"/>
      <w:divBdr>
        <w:top w:val="none" w:sz="0" w:space="0" w:color="auto"/>
        <w:left w:val="none" w:sz="0" w:space="0" w:color="auto"/>
        <w:bottom w:val="none" w:sz="0" w:space="0" w:color="auto"/>
        <w:right w:val="none" w:sz="0" w:space="0" w:color="auto"/>
      </w:divBdr>
    </w:div>
    <w:div w:id="25725013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AE8AE-2F7F-42FD-ADBB-D8C816B6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875</Words>
  <Characters>7091</Characters>
  <Application>Microsoft Office Word</Application>
  <DocSecurity>0</DocSecurity>
  <Lines>59</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13</cp:revision>
  <cp:lastPrinted>1900-01-01T06:00:00Z</cp:lastPrinted>
  <dcterms:created xsi:type="dcterms:W3CDTF">2020-02-13T08:30:00Z</dcterms:created>
  <dcterms:modified xsi:type="dcterms:W3CDTF">2020-02-14T17:20:00Z</dcterms:modified>
</cp:coreProperties>
</file>